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/>
          <w:b/>
          <w:bCs/>
          <w:sz w:val="44"/>
          <w:szCs w:val="44"/>
        </w:rPr>
      </w:pPr>
      <w:r>
        <w:rPr>
          <w:rFonts w:hint="default" w:asciiTheme="minorAscii" w:hAnsiTheme="minorAscii"/>
          <w:b/>
          <w:bCs/>
          <w:sz w:val="44"/>
          <w:szCs w:val="44"/>
        </w:rPr>
        <w:t>山东中梓富检认证有限公司</w:t>
      </w:r>
    </w:p>
    <w:p>
      <w:pPr>
        <w:jc w:val="center"/>
        <w:rPr>
          <w:rFonts w:hint="default" w:asciiTheme="minorAscii" w:hAnsiTheme="minorAscii"/>
          <w:b/>
          <w:bCs/>
          <w:sz w:val="28"/>
          <w:szCs w:val="28"/>
        </w:rPr>
      </w:pPr>
      <w:r>
        <w:rPr>
          <w:rFonts w:hint="default" w:asciiTheme="minorAscii" w:hAnsiTheme="minorAscii"/>
          <w:b/>
          <w:bCs/>
          <w:sz w:val="28"/>
          <w:szCs w:val="28"/>
        </w:rPr>
        <w:t>管理体系认证收费标准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根据国家发改委、国家质监总局（计价格［1999］212号）和中国合格评定国家认可委员会（CNAS）等有关文件规定，特制定如下管理体系认证收费准则：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  初次认证费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1.1 固定收费：申请费1000元，审定注册费2000元。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1.2 审核费：3000元×审核人·日数。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1.3 如涉及多场所审核，根据有关规定适当增加人·日数。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1.4 根据申请组织认证产品所覆盖的专业类别情况，每增加一个类别，可增加1-2个审核人·日。特殊类别应增加2-4个审核人·日。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 1.5  如证书丢失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损坏无法使用需补发证书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或者加印证书副本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加印费每套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  预审费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当需要预审时，预审费应不超过初次审核费的50％。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年度监督管理费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 3.1  年度监督审核费：初次审核费的三分之一。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 3.2  年金（含标志使用费）：2000元/年。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 3.3  年度监督管理费为3.1与3.2费用之和。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 3.4  扩大认证范围：在年度监督审核费基础上，根据实际情况，重新进行合同评审，签订补充合同（可参考1.4的规定）。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再认证费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当证书三年有效期届满时，组织应按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山东中梓富检认证有限公司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认证程序进行再认证，再认证审核费为初次审核费的三分之二。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中梓富检派出的审核人员在进行初访、预审核、正式审核和跟踪验证时发生的食、宿、交通费，按实际的支出费用由受审核方支付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lang w:val="en-US" w:eastAsia="zh-CN"/>
        </w:rPr>
        <w:t xml:space="preserve">                       </w:t>
      </w:r>
    </w:p>
    <w:p>
      <w:pPr>
        <w:ind w:firstLine="6300" w:firstLineChars="300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2023.1.28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341630" cy="328930"/>
          <wp:effectExtent l="0" t="0" r="127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63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宋体" w:eastAsia="黑体"/>
        <w:bCs/>
        <w:sz w:val="21"/>
        <w:szCs w:val="21"/>
      </w:rPr>
      <w:t>山东中梓富检认证有限公司</w:t>
    </w:r>
    <w:r>
      <w:rPr>
        <w:rFonts w:hint="eastAsia" w:ascii="黑体" w:hAnsi="宋体" w:eastAsia="黑体"/>
        <w:bCs/>
        <w:sz w:val="21"/>
        <w:szCs w:val="21"/>
        <w:lang w:val="en-US" w:eastAsia="zh-CN"/>
      </w:rPr>
      <w:t xml:space="preserve">                                 </w:t>
    </w:r>
    <w:r>
      <w:rPr>
        <w:rFonts w:hint="eastAsia" w:ascii="黑体" w:hAnsi="宋体" w:eastAsia="黑体"/>
        <w:bCs/>
        <w:sz w:val="21"/>
        <w:szCs w:val="21"/>
      </w:rPr>
      <w:t>编号：ZFC-GL-03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mVkNTcxNmQxYjI4ZTMyMzZmM2U5YmE3NzBkMzkifQ=="/>
  </w:docVars>
  <w:rsids>
    <w:rsidRoot w:val="71F36A31"/>
    <w:rsid w:val="549960F1"/>
    <w:rsid w:val="71F3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558</Characters>
  <Lines>0</Lines>
  <Paragraphs>0</Paragraphs>
  <TotalTime>1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2023-08-29T11:15:00Z</dcterms:created>
  <dc:creator>WPS_1661341420</dc:creator>
  <cp:lastModifiedBy>WPS_1661341420</cp:lastModifiedBy>
  <dcterms:modified xsi:type="dcterms:W3CDTF">2023-08-29T13:26:43Z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9C9384DCB2E7470AB1A3CC75EBD85346_13</vt:lpwstr>
  </property>
</Properties>
</file>